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8"/>
          <w:szCs w:val="38"/>
        </w:rPr>
      </w:pPr>
      <w:r>
        <w:rPr>
          <w:rFonts w:hint="eastAsia" w:ascii="方正小标宋简体" w:eastAsia="方正小标宋简体"/>
          <w:sz w:val="38"/>
          <w:szCs w:val="38"/>
        </w:rPr>
        <w:t>2021年度上海市</w:t>
      </w:r>
      <w:bookmarkStart w:id="0" w:name="_GoBack"/>
      <w:r>
        <w:rPr>
          <w:rFonts w:hint="eastAsia" w:ascii="方正小标宋简体" w:eastAsia="方正小标宋简体"/>
          <w:sz w:val="38"/>
          <w:szCs w:val="38"/>
        </w:rPr>
        <w:t>教育科学研究一般项目指南</w:t>
      </w:r>
    </w:p>
    <w:bookmarkEnd w:id="0"/>
    <w:p>
      <w:pPr>
        <w:spacing w:line="540" w:lineRule="exact"/>
        <w:ind w:firstLine="600" w:firstLineChars="200"/>
        <w:rPr>
          <w:rFonts w:ascii="黑体" w:hAnsi="黑体" w:eastAsia="黑体"/>
          <w:sz w:val="30"/>
          <w:szCs w:val="30"/>
        </w:rPr>
      </w:pPr>
      <w:r>
        <w:rPr>
          <w:rFonts w:hint="eastAsia" w:ascii="黑体" w:hAnsi="黑体" w:eastAsia="黑体"/>
          <w:sz w:val="30"/>
          <w:szCs w:val="30"/>
        </w:rPr>
        <w:t>1.高校思想政治教育评价体系研究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研究制定评价标准尺度，构建符合时代要求、遵循教育规律、易于具体操作、体现党和国家要求的高校思想政治教育评价体系，促进高校思想政治教育的科学化发展。</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2.上海高校地方社会服务能力评价的理论依据和指标体系研究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结合上海经济社会发展重大需求点，分别研究提出学术研究型、应用研究型、应用技术型、应用技能型高校社会服务能力评价的理论依据和指标体系。</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3.上海高校分类评价有效性的评价模式研究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结合前沿理论和实践进展，研究提出上海高校分类评价有效性评价的理论依据、指标体系和操作方式。</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4.授课型硕士学位制度国际比较及应用研究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进一步分析和比较世界主要经济体授课型硕士学位设置目标、实施意义等，结合我国实际情况，提出我国授课型硕士学位制度设置的可行性及有关发展建议。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5.上海高校促进培育新兴交叉学科的策略研究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支持国家和区域发展重大战略，支持上海科创中心建设，对接“人工智能”“集成电路”“生物医药”三大重点领域建设任务，借鉴国内国际学科发展经验，提出高校在促进培育新兴交叉学科，培育新的增长点方面的对策和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6.民办高校办学融资路径研究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探索符合学校实际的融资路径，明晰管控风险。通过鼓励金融机构在风险可控前提下开发分别适合营利性和非营利性学校特点的金融产品等方式，寻求突破民办高校筹资困境的有效举措。</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7.基于教育现代化背景下的高校思想政治工作内涵发展研究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在教育现代化建设背景下，落实习近平总书记和党中央关于新时代思想政治工作的各项要求，真正实现“三圈三全十育人”，不断提升思想政治工作成效。</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8.新时代高校教师思想政治工作研究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加强师德师风建设，增强教师育德意识和育德能力，建立健全规章制度和工作机制，杜绝教师师德失范行为发生。</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9.完善高校院（系）党组织领导和运行机制研究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在着力强化二级院（系）党组织从严治党主体责任，强化政治功能提升组织力，完善院（系）决策议事机制等方面加强研究。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10.上海市中职学校教育质量评估模式研究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深入研究上海市中职学校教育质量评估的理论依据、现实可能性及实现路径、工作机制，探索中职学校教育质量评估新模式。</w:t>
      </w:r>
    </w:p>
    <w:p>
      <w:pPr>
        <w:spacing w:line="540" w:lineRule="exact"/>
        <w:ind w:firstLine="600" w:firstLineChars="200"/>
        <w:rPr>
          <w:rFonts w:ascii="仿宋_GB2312" w:hAnsi="黑体" w:eastAsia="仿宋_GB2312"/>
          <w:sz w:val="30"/>
          <w:szCs w:val="30"/>
        </w:rPr>
      </w:pPr>
      <w:r>
        <w:rPr>
          <w:rFonts w:hint="eastAsia" w:ascii="黑体" w:hAnsi="黑体" w:eastAsia="黑体"/>
          <w:sz w:val="30"/>
          <w:szCs w:val="30"/>
        </w:rPr>
        <w:t>11.上海探索新型（五年一贯制）职业院校的实践研究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新型（五年一贯制）职业院校的功能定位与试点价值；新型（五年一贯制）职业院校建设的布局规划、风险挑战、改革举措等；新型（五年一贯制）职业院校的建设指导意见。</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12.产教融合背景下职业教育多元协同治理研究</w:t>
      </w:r>
    </w:p>
    <w:p>
      <w:pPr>
        <w:spacing w:line="540" w:lineRule="exact"/>
        <w:ind w:firstLine="600" w:firstLineChars="200"/>
        <w:rPr>
          <w:rFonts w:ascii="黑体" w:hAnsi="黑体" w:eastAsia="黑体"/>
          <w:sz w:val="30"/>
          <w:szCs w:val="30"/>
        </w:rPr>
      </w:pPr>
      <w:r>
        <w:rPr>
          <w:rFonts w:hint="eastAsia" w:ascii="仿宋_GB2312" w:eastAsia="仿宋_GB2312"/>
          <w:sz w:val="30"/>
          <w:szCs w:val="30"/>
        </w:rPr>
        <w:t>采用跨学科视角，运用协同理论，研究培育职业教育多元治理主体策略方法，拓展多元主体参与职业教育治理渠道的路径，研究构建多主体协同治理机制。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13.职业教育与培训一体化改革研究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推动职业教育与培训一体化改革进程：研究构建职业教育多元主体治理体系，探索实践基于学习成果认定、积累转换制度“1+X”证书制度改革，健全校企人员双向交流机制。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14.构建实施“双园制”产学结合模式研究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研究实施产业园区与校园相结合的、企业与学校合作的“双园制”合作模式，推动产业工人和务工人员平均受教育程度的提升，为全面实现教育现代化“固底板”“补短板”。</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15.上海市培训机构规范培训监测指标研究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制定培训机构规范办学、质量保障的监管指标体系，为政府监督管理制度建设提供思路与政策建议。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16.义务教育学校设点布局和建设机制研究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在梳理调研本市相关政策、标准、数据基础上，提出义务教育学校设点布局和建设机制建议。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17.上海市基础教育经费投入保障机制研究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聚焦上海基础教育经费投入保障机制，优化政府在公共教育服务中的投入机制，为上海教育现代化2035建设目标的实现提供经费保障和支撑。</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18.区级教育督导体制机制改革实践研究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从区级教育督导机构建设、学校督导标准体系等方面开展实践研究，探索基于科学理论支撑的区域教育督导改革新模式。</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19.义务教育深化创新创造教育的实践研究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为促进义务教育提质增效，鼓励和支持科研机构、教研部门、义务教育学校等开展深化创新创造教育的实践研究。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20.多样化背景下普通高中优质特色发展研究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在继续推进特色高中创建项目的同时，加强对多样化背景下普通高中优质特色发展的研究。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21.上海教育财政投入结构优化研究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进一步优化各级教育财政投入结构比例，包括引导各级单位加大对教育内涵建设的投入等，完善非义务教育培养成本合理分担机制等。</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22.新时代劳动教育融入人才培养的机制研究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深入研究劳动教育的观念、目标、过程、评价，构建劳动教育体系，为发挥劳动教育在树德、增智、强体、育美中的作用提供理论支撑。</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23.提升教育督导权威性的理论探索与实践路径研究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从监管制度、政策效力等多层面对我国教育督导权威性问题进行理论探讨，从制度改革等方面探索新时代教育治理视野中教育督导权威性提升的路径选择。</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24.营利性民办学校监督管理机制研究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针对营利性民办学校办学管理的实际要求，围绕营利性民办学校内、外部办学管理涉及的治理结构、制度建设、监督管理等开展深入研究，提出相关建议。</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25.推进学生体育素养提升的理论和实践研究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发挥课程基础性作用，科学开展运动训练，建设高水平体育师资队伍，完善激励评价机制，强化场地设施保障，探索利用校外资源。</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26.全面加强学生艺术教育的理论和实践研究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发挥课程基础性作用，科学开展排练，建设高水平艺术师资队伍，完善激励评价机制，强化场地设施保障，探索利用校外资源。</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27.基于因病缺勤缺课网络直报系统的上海学校传染病预警模型研究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主要研究学校传染病的影响因素分析，预警模型的建立与验证等，完善学校卫生安全保障和管理机制，加强学生健康宣教、健康促进等工作。</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28.世界发达城市教材管理政策的比较研究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聚焦国际发达城市教材管理体系、主要经验和典型案例、管理政策的未来趋势预测三方面，为上海教材管理与世界发达城市教材管理全面对接。</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29.城市语言规划视角下上海市语言文字监测与评估体系构建研究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结合上海城市规划战略定位及语言文字规划总体要求，完善语言文字的监测和评估机制。</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30.本市教育系统内审管理相关规定政策研究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根据国家有关最新规定，结合实际，研究制定本市教育系统内审管理规定，建立健全内审制度，进一步发挥内审作用，确保国家关于内审的有关要求落地落实。</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31.人工智能+教育的理论与实践研究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通过分析当前教育短板，探索人工智能技术如何运用其中并改善现状，并探索由此带来的技术风险、伦理风险是否能够有效化解或控制等。</w:t>
      </w:r>
    </w:p>
    <w:p>
      <w:pPr>
        <w:spacing w:line="540" w:lineRule="exact"/>
        <w:ind w:firstLine="600" w:firstLineChars="200"/>
        <w:rPr>
          <w:rFonts w:ascii="黑体" w:hAnsi="黑体" w:eastAsia="黑体"/>
          <w:sz w:val="30"/>
          <w:szCs w:val="30"/>
        </w:rPr>
      </w:pPr>
      <w:r>
        <w:rPr>
          <w:rFonts w:hint="eastAsia" w:ascii="黑体" w:hAnsi="黑体" w:eastAsia="黑体"/>
          <w:sz w:val="30"/>
          <w:szCs w:val="30"/>
        </w:rPr>
        <w:t>32.基于数据驱动的因材施教理论与实践研究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为切实驱动因材施教，深度剖析客观辨材、精准施教的内涵，建立教与学过程数据模型，明确教育数据库的构建模式和应用方向。</w:t>
      </w: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tbl>
      <w:tblPr>
        <w:tblStyle w:val="7"/>
        <w:tblpPr w:leftFromText="180" w:rightFromText="180" w:vertAnchor="text" w:horzAnchor="page" w:tblpX="1496" w:tblpY="60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500"/>
        <w:gridCol w:w="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7" w:type="dxa"/>
            <w:gridSpan w:val="3"/>
            <w:tcBorders>
              <w:top w:val="single" w:color="auto" w:sz="12" w:space="0"/>
              <w:left w:val="nil"/>
              <w:bottom w:val="single" w:color="auto" w:sz="4" w:space="0"/>
              <w:right w:val="nil"/>
            </w:tcBorders>
          </w:tcPr>
          <w:p>
            <w:pPr>
              <w:tabs>
                <w:tab w:val="left" w:pos="7380"/>
                <w:tab w:val="left" w:pos="7560"/>
              </w:tabs>
              <w:spacing w:line="480" w:lineRule="exact"/>
              <w:ind w:right="361"/>
              <w:rPr>
                <w:rFonts w:ascii="仿宋_GB2312" w:eastAsia="仿宋_GB2312"/>
                <w:sz w:val="30"/>
                <w:szCs w:val="30"/>
              </w:rPr>
            </w:pPr>
            <w:r>
              <w:rPr>
                <w:rFonts w:hint="eastAsia" w:ascii="仿宋_GB2312" w:eastAsia="仿宋_GB2312"/>
                <w:sz w:val="28"/>
                <w:szCs w:val="28"/>
              </w:rPr>
              <w:t>抄送：</w:t>
            </w:r>
            <w:r>
              <w:rPr>
                <w:rFonts w:hint="eastAsia" w:ascii="仿宋_GB2312" w:eastAsia="仿宋_GB2312"/>
                <w:sz w:val="30"/>
                <w:szCs w:val="30"/>
              </w:rPr>
              <w:t>市教育规划办，两委机关相关处室</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left w:val="nil"/>
              <w:bottom w:val="single" w:color="auto" w:sz="12" w:space="0"/>
              <w:right w:val="nil"/>
            </w:tcBorders>
          </w:tcPr>
          <w:p>
            <w:pPr>
              <w:spacing w:line="560" w:lineRule="exact"/>
              <w:ind w:firstLine="280" w:firstLineChars="100"/>
              <w:rPr>
                <w:rFonts w:ascii="黑体" w:eastAsia="黑体"/>
                <w:sz w:val="28"/>
                <w:szCs w:val="28"/>
              </w:rPr>
            </w:pPr>
            <w:r>
              <w:rPr>
                <w:rFonts w:hint="eastAsia" w:ascii="仿宋_GB2312" w:eastAsia="仿宋_GB2312"/>
                <w:sz w:val="28"/>
                <w:szCs w:val="28"/>
              </w:rPr>
              <w:t>上海市教育委员会办公室</w:t>
            </w:r>
          </w:p>
        </w:tc>
        <w:tc>
          <w:tcPr>
            <w:tcW w:w="4500" w:type="dxa"/>
            <w:tcBorders>
              <w:left w:val="nil"/>
              <w:bottom w:val="single" w:color="auto" w:sz="12" w:space="0"/>
              <w:right w:val="nil"/>
            </w:tcBorders>
          </w:tcPr>
          <w:p>
            <w:pPr>
              <w:spacing w:line="560" w:lineRule="exact"/>
              <w:jc w:val="right"/>
              <w:rPr>
                <w:rFonts w:ascii="黑体" w:eastAsia="黑体"/>
                <w:sz w:val="28"/>
                <w:szCs w:val="28"/>
              </w:rPr>
            </w:pPr>
            <w:r>
              <w:rPr>
                <w:rFonts w:hint="eastAsia" w:ascii="仿宋_GB2312" w:eastAsia="仿宋_GB2312"/>
                <w:sz w:val="28"/>
                <w:szCs w:val="28"/>
              </w:rPr>
              <w:t>2020年7月9日印发</w:t>
            </w:r>
          </w:p>
        </w:tc>
        <w:tc>
          <w:tcPr>
            <w:tcW w:w="289" w:type="dxa"/>
            <w:tcBorders>
              <w:left w:val="nil"/>
              <w:bottom w:val="single" w:color="auto" w:sz="12" w:space="0"/>
              <w:right w:val="nil"/>
            </w:tcBorders>
          </w:tcPr>
          <w:p>
            <w:pPr>
              <w:spacing w:line="560" w:lineRule="exact"/>
              <w:ind w:right="359" w:rightChars="171"/>
              <w:jc w:val="right"/>
              <w:rPr>
                <w:rFonts w:ascii="黑体" w:eastAsia="黑体"/>
                <w:sz w:val="28"/>
                <w:szCs w:val="28"/>
              </w:rPr>
            </w:pPr>
          </w:p>
        </w:tc>
      </w:tr>
    </w:tbl>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ascii="仿宋_GB2312" w:eastAsia="仿宋_GB2312"/>
          <w:sz w:val="30"/>
          <w:szCs w:val="30"/>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p>
      <w:pPr>
        <w:tabs>
          <w:tab w:val="left" w:pos="7380"/>
          <w:tab w:val="left" w:pos="7560"/>
        </w:tabs>
        <w:spacing w:line="480" w:lineRule="exact"/>
        <w:ind w:right="361"/>
        <w:rPr>
          <w:rFonts w:hint="eastAsia" w:ascii="仿宋_GB2312" w:eastAsia="仿宋_GB2312"/>
          <w:sz w:val="30"/>
          <w:szCs w:val="30"/>
          <w:lang w:eastAsia="zh-CN"/>
        </w:rPr>
      </w:pPr>
    </w:p>
    <w:sectPr>
      <w:footerReference r:id="rId3" w:type="default"/>
      <w:pgSz w:w="11906" w:h="16838"/>
      <w:pgMar w:top="2098" w:right="1508" w:bottom="1713" w:left="1520" w:header="851" w:footer="1418"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rPr>
    </w:pPr>
    <w:r>
      <w:rPr>
        <w:rStyle w:val="9"/>
        <w:rFonts w:hint="eastAsia" w:ascii="宋体" w:hAnsi="宋体"/>
        <w:sz w:val="28"/>
      </w:rPr>
      <w:t xml:space="preserve">—  </w:t>
    </w:r>
    <w:r>
      <w:rPr>
        <w:rStyle w:val="9"/>
        <w:rFonts w:ascii="宋体" w:hAnsi="宋体"/>
        <w:sz w:val="28"/>
      </w:rPr>
      <w:fldChar w:fldCharType="begin"/>
    </w:r>
    <w:r>
      <w:rPr>
        <w:rStyle w:val="9"/>
        <w:rFonts w:ascii="宋体" w:hAnsi="宋体"/>
        <w:sz w:val="28"/>
      </w:rPr>
      <w:instrText xml:space="preserve">PAGE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hint="eastAsia" w:ascii="宋体" w:hAnsi="宋体"/>
        <w:sz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E7E68"/>
    <w:rsid w:val="00031A6B"/>
    <w:rsid w:val="00042DFA"/>
    <w:rsid w:val="00082EC4"/>
    <w:rsid w:val="00095E3D"/>
    <w:rsid w:val="000D0148"/>
    <w:rsid w:val="000D02AC"/>
    <w:rsid w:val="00172EFA"/>
    <w:rsid w:val="00175D8A"/>
    <w:rsid w:val="00193840"/>
    <w:rsid w:val="001B2AE5"/>
    <w:rsid w:val="001C1924"/>
    <w:rsid w:val="002175B7"/>
    <w:rsid w:val="002462AA"/>
    <w:rsid w:val="002A1547"/>
    <w:rsid w:val="002A5625"/>
    <w:rsid w:val="002F592B"/>
    <w:rsid w:val="00305A6F"/>
    <w:rsid w:val="00333D4B"/>
    <w:rsid w:val="00351EB8"/>
    <w:rsid w:val="00357C00"/>
    <w:rsid w:val="00387F62"/>
    <w:rsid w:val="00397A6B"/>
    <w:rsid w:val="003D726F"/>
    <w:rsid w:val="003E7E68"/>
    <w:rsid w:val="00425BC7"/>
    <w:rsid w:val="00462980"/>
    <w:rsid w:val="004649B4"/>
    <w:rsid w:val="004779D8"/>
    <w:rsid w:val="004D6037"/>
    <w:rsid w:val="004D7C20"/>
    <w:rsid w:val="005173F0"/>
    <w:rsid w:val="00517844"/>
    <w:rsid w:val="00517854"/>
    <w:rsid w:val="00530E00"/>
    <w:rsid w:val="00541AAD"/>
    <w:rsid w:val="005873F9"/>
    <w:rsid w:val="0059260B"/>
    <w:rsid w:val="005B7C26"/>
    <w:rsid w:val="005F240B"/>
    <w:rsid w:val="0062144C"/>
    <w:rsid w:val="00640C50"/>
    <w:rsid w:val="006A6F2C"/>
    <w:rsid w:val="007635DB"/>
    <w:rsid w:val="00764E5F"/>
    <w:rsid w:val="00772BB5"/>
    <w:rsid w:val="00794346"/>
    <w:rsid w:val="007A2531"/>
    <w:rsid w:val="007F5DC3"/>
    <w:rsid w:val="00835EE4"/>
    <w:rsid w:val="008C0A78"/>
    <w:rsid w:val="008F2BA7"/>
    <w:rsid w:val="009273D4"/>
    <w:rsid w:val="009572C0"/>
    <w:rsid w:val="00977C74"/>
    <w:rsid w:val="009A4586"/>
    <w:rsid w:val="009E0318"/>
    <w:rsid w:val="009E439E"/>
    <w:rsid w:val="009E749A"/>
    <w:rsid w:val="00A6470E"/>
    <w:rsid w:val="00B0219A"/>
    <w:rsid w:val="00B11D4A"/>
    <w:rsid w:val="00B209F1"/>
    <w:rsid w:val="00B42479"/>
    <w:rsid w:val="00B43C7F"/>
    <w:rsid w:val="00B62A3C"/>
    <w:rsid w:val="00BA3B51"/>
    <w:rsid w:val="00BD398E"/>
    <w:rsid w:val="00C10FEF"/>
    <w:rsid w:val="00C13A4E"/>
    <w:rsid w:val="00C25578"/>
    <w:rsid w:val="00C673B5"/>
    <w:rsid w:val="00C95FAF"/>
    <w:rsid w:val="00D013CC"/>
    <w:rsid w:val="00D068A5"/>
    <w:rsid w:val="00D208EB"/>
    <w:rsid w:val="00DB777E"/>
    <w:rsid w:val="00DE71F2"/>
    <w:rsid w:val="00DF47D4"/>
    <w:rsid w:val="00E42B68"/>
    <w:rsid w:val="00EC282D"/>
    <w:rsid w:val="00ED24F9"/>
    <w:rsid w:val="00EF1AEE"/>
    <w:rsid w:val="00EF3534"/>
    <w:rsid w:val="00F77469"/>
    <w:rsid w:val="00F8158C"/>
    <w:rsid w:val="00FF698D"/>
    <w:rsid w:val="5554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uiPriority w:val="99"/>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uiPriority w:val="99"/>
    <w:rPr>
      <w:sz w:val="24"/>
      <w:szCs w:val="24"/>
    </w:rPr>
  </w:style>
  <w:style w:type="character" w:styleId="9">
    <w:name w:val="page number"/>
    <w:basedOn w:val="8"/>
    <w:uiPriority w:val="0"/>
  </w:style>
  <w:style w:type="character" w:customStyle="1" w:styleId="10">
    <w:name w:val="日期 字符"/>
    <w:basedOn w:val="8"/>
    <w:link w:val="3"/>
    <w:semiHidden/>
    <w:uiPriority w:val="99"/>
    <w:rPr>
      <w:kern w:val="2"/>
      <w:sz w:val="21"/>
    </w:rPr>
  </w:style>
  <w:style w:type="character" w:customStyle="1" w:styleId="11">
    <w:name w:val="标题 1 字符"/>
    <w:basedOn w:val="8"/>
    <w:link w:val="2"/>
    <w:uiPriority w:val="9"/>
    <w:rPr>
      <w:rFonts w:ascii="宋体" w:hAnsi="宋体" w:cs="宋体"/>
      <w:b/>
      <w:bCs/>
      <w:kern w:val="36"/>
      <w:sz w:val="48"/>
      <w:szCs w:val="4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Templates%202017\&#27169;&#26495;&#26368;&#26032;\&#20844;&#25991;20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公文2020模板</Template>
  <Company>Microsoft</Company>
  <Pages>7</Pages>
  <Words>420</Words>
  <Characters>2395</Characters>
  <Lines>19</Lines>
  <Paragraphs>5</Paragraphs>
  <TotalTime>1</TotalTime>
  <ScaleCrop>false</ScaleCrop>
  <LinksUpToDate>false</LinksUpToDate>
  <CharactersWithSpaces>2810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2020-07-09T06:44:00Z</dcterms:created>
  <dc:creator>李倩</dc:creator>
  <cp:lastModifiedBy>石丽娟</cp:lastModifiedBy>
  <cp:lastPrinted>2020-07-09T09:53:00Z</cp:lastPrinted>
  <dcterms:modified xsi:type="dcterms:W3CDTF">2020-07-13T03:03:21Z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